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1B46" w:rsidRPr="00537AD5" w:rsidRDefault="00F51B46" w:rsidP="00F51B46">
      <w:pPr>
        <w:spacing w:before="120" w:after="120" w:line="360" w:lineRule="auto"/>
        <w:jc w:val="both"/>
        <w:rPr>
          <w:rFonts w:eastAsiaTheme="majorEastAsia"/>
          <w:bCs/>
          <w:iCs/>
          <w:lang w:val="vi-VN"/>
        </w:rPr>
      </w:pPr>
      <w:r w:rsidRPr="00537AD5">
        <w:rPr>
          <w:rFonts w:eastAsiaTheme="majorEastAsia"/>
          <w:b/>
          <w:sz w:val="24"/>
          <w:szCs w:val="24"/>
          <w:lang w:val="vi-VN"/>
        </w:rPr>
        <w:t>BƯỚC THOẠI,</w:t>
      </w:r>
      <w:r w:rsidRPr="00537AD5">
        <w:rPr>
          <w:rFonts w:eastAsiaTheme="majorEastAsia"/>
          <w:bCs/>
          <w:lang w:val="vi-VN"/>
        </w:rPr>
        <w:t xml:space="preserve"> một hành động trong một tập hợp các hành động luân phiên, trong lý thuyết trò chơi, dẫn đến những lợi thế và bất lợi cụ thể cho những người tham gia (xem một động thái trong trò chơi cờ vua). Trong hệ thuật ngữ của Goffman, trao đ</w:t>
      </w:r>
      <w:r w:rsidRPr="00537AD5">
        <w:rPr>
          <w:rFonts w:eastAsia="SimSun"/>
          <w:bCs/>
          <w:lang w:val="vi-VN"/>
        </w:rPr>
        <w:t>á</w:t>
      </w:r>
      <w:r w:rsidRPr="00537AD5">
        <w:rPr>
          <w:rFonts w:eastAsiaTheme="majorEastAsia"/>
          <w:bCs/>
          <w:lang w:val="vi-VN"/>
        </w:rPr>
        <w:t>p l</w:t>
      </w:r>
      <w:r w:rsidRPr="00537AD5">
        <w:rPr>
          <w:rFonts w:eastAsia="SimSun"/>
          <w:bCs/>
          <w:lang w:val="vi-VN"/>
        </w:rPr>
        <w:t>à</w:t>
      </w:r>
      <w:r w:rsidRPr="00537AD5">
        <w:rPr>
          <w:rFonts w:eastAsiaTheme="majorEastAsia"/>
          <w:bCs/>
          <w:lang w:val="vi-VN"/>
        </w:rPr>
        <w:t xml:space="preserve"> một “vòng” có ít nhất hai người tham gia, trong đ</w:t>
      </w:r>
      <w:r w:rsidRPr="00537AD5">
        <w:rPr>
          <w:rFonts w:eastAsia="SimSun"/>
          <w:bCs/>
          <w:lang w:val="vi-VN"/>
        </w:rPr>
        <w:t>ó</w:t>
      </w:r>
      <w:r w:rsidRPr="00537AD5">
        <w:rPr>
          <w:rFonts w:eastAsiaTheme="majorEastAsia"/>
          <w:bCs/>
          <w:lang w:val="vi-VN"/>
        </w:rPr>
        <w:t xml:space="preserve"> mỗi người thực hiện một BT. Theo Goffman, những người tham gia sử dụng khả năng giao tiếp của mình để bản thân phù hợp với từng giai đoạn. Những hoạt động như vậy gây ra và bị chi phối bởi hai loại ràng buộc về nghi thức: trao đổi hỗ trợ và trao đổi khắc phục. Trong khi trao đổi hỗ trợ, như </w:t>
      </w:r>
      <w:r w:rsidRPr="00537AD5">
        <w:rPr>
          <w:rFonts w:eastAsiaTheme="majorEastAsia"/>
          <w:bCs/>
          <w:i/>
          <w:iCs/>
          <w:lang w:val="vi-VN"/>
        </w:rPr>
        <w:t>Thanks for your call</w:t>
      </w:r>
      <w:r w:rsidRPr="00537AD5">
        <w:rPr>
          <w:rFonts w:eastAsiaTheme="majorEastAsia"/>
          <w:bCs/>
          <w:lang w:val="vi-VN"/>
        </w:rPr>
        <w:t xml:space="preserve"> (Cám ơn cuộc gọi của bạn) dùng để bắt đầu hoặc kết thúc cuộc tương t</w:t>
      </w:r>
      <w:r w:rsidRPr="00537AD5">
        <w:rPr>
          <w:rFonts w:eastAsia="SimSun"/>
          <w:bCs/>
          <w:lang w:val="vi-VN"/>
        </w:rPr>
        <w:t>á</w:t>
      </w:r>
      <w:r w:rsidRPr="00537AD5">
        <w:rPr>
          <w:rFonts w:eastAsiaTheme="majorEastAsia"/>
          <w:bCs/>
          <w:lang w:val="vi-VN"/>
        </w:rPr>
        <w:t>c, th</w:t>
      </w:r>
      <w:r w:rsidRPr="00537AD5">
        <w:rPr>
          <w:rFonts w:eastAsia="SimSun"/>
          <w:bCs/>
          <w:lang w:val="vi-VN"/>
        </w:rPr>
        <w:t>ì</w:t>
      </w:r>
      <w:r w:rsidRPr="00537AD5">
        <w:rPr>
          <w:rFonts w:eastAsiaTheme="majorEastAsia"/>
          <w:bCs/>
          <w:lang w:val="vi-VN"/>
        </w:rPr>
        <w:t xml:space="preserve"> trao đổi khắc phục (như lời bào chữa hoặc giải thích) lại cải biến nghĩa của một hành động có thể được coi là xúc phạm hoặc vi phạm một chế định.</w:t>
      </w:r>
      <w:r w:rsidRPr="00537AD5">
        <w:rPr>
          <w:rFonts w:eastAsiaTheme="majorEastAsia"/>
          <w:bCs/>
          <w:iCs/>
          <w:lang w:val="vi-VN"/>
        </w:rPr>
        <w:t xml:space="preserve">          </w:t>
      </w:r>
    </w:p>
    <w:p w:rsidR="00F51B46" w:rsidRPr="00537AD5" w:rsidRDefault="00F51B46" w:rsidP="00F51B46">
      <w:pPr>
        <w:spacing w:before="120" w:after="120" w:line="360" w:lineRule="auto"/>
        <w:ind w:firstLine="567"/>
        <w:jc w:val="both"/>
        <w:rPr>
          <w:rFonts w:eastAsiaTheme="majorEastAsia"/>
          <w:bCs/>
          <w:lang w:val="vi-VN"/>
        </w:rPr>
      </w:pPr>
      <w:r w:rsidRPr="00537AD5">
        <w:rPr>
          <w:rFonts w:eastAsiaTheme="majorEastAsia"/>
          <w:bCs/>
          <w:lang w:val="vi-VN"/>
        </w:rPr>
        <w:t xml:space="preserve">BT là một đơn vị không được đồng nhất với một hành động ngôn từ hoặc với một lượt nói, mặc dù nó có thể trùng với chúng. Theo </w:t>
      </w:r>
      <w:r w:rsidRPr="00537AD5">
        <w:rPr>
          <w:rFonts w:eastAsiaTheme="majorEastAsia"/>
          <w:bCs/>
          <w:iCs/>
          <w:lang w:val="vi-VN"/>
        </w:rPr>
        <w:t>Sinclair và Coulthard, h</w:t>
      </w:r>
      <w:r w:rsidRPr="00537AD5">
        <w:rPr>
          <w:rFonts w:eastAsiaTheme="majorEastAsia"/>
          <w:bCs/>
          <w:lang w:val="vi-VN"/>
        </w:rPr>
        <w:t>ành động (act) là đơn vị nhỏ nhất của cuộc thoại. Các hành động tạo nên BT, các BT tạo nên sự trao đ</w:t>
      </w:r>
      <w:r w:rsidRPr="00537AD5">
        <w:rPr>
          <w:rFonts w:eastAsia="SimSun"/>
          <w:bCs/>
          <w:lang w:val="vi-VN"/>
        </w:rPr>
        <w:t>á</w:t>
      </w:r>
      <w:r w:rsidRPr="00537AD5">
        <w:rPr>
          <w:rFonts w:eastAsiaTheme="majorEastAsia"/>
          <w:bCs/>
          <w:lang w:val="vi-VN"/>
        </w:rPr>
        <w:t>p. Kh</w:t>
      </w:r>
      <w:r w:rsidRPr="00537AD5">
        <w:rPr>
          <w:rFonts w:eastAsia="SimSun"/>
          <w:bCs/>
          <w:lang w:val="vi-VN"/>
        </w:rPr>
        <w:t>á</w:t>
      </w:r>
      <w:r w:rsidRPr="00537AD5">
        <w:rPr>
          <w:rFonts w:eastAsiaTheme="majorEastAsia"/>
          <w:bCs/>
          <w:lang w:val="vi-VN"/>
        </w:rPr>
        <w:t xml:space="preserve">i niệm hành động của </w:t>
      </w:r>
      <w:r w:rsidRPr="00537AD5">
        <w:rPr>
          <w:rFonts w:eastAsiaTheme="majorEastAsia"/>
          <w:bCs/>
          <w:iCs/>
          <w:lang w:val="vi-VN"/>
        </w:rPr>
        <w:t>Sinclair và Coulthard không trùng với khái niệm hành động ngôn từ mà được xác định theo chức năng của chúng đối với BT và được thực hiện bằng ba kiểu câu truyền thống là câu hỏi, câu mệnh lệnh và câu trần thuật. Sinclair và Coulthard nêu ra các hành động như: (1) đ</w:t>
      </w:r>
      <w:r w:rsidRPr="00537AD5">
        <w:rPr>
          <w:rFonts w:eastAsia="SimSun"/>
          <w:bCs/>
          <w:iCs/>
          <w:lang w:val="vi-VN"/>
        </w:rPr>
        <w:t>á</w:t>
      </w:r>
      <w:r w:rsidRPr="00537AD5">
        <w:rPr>
          <w:rFonts w:eastAsiaTheme="majorEastAsia"/>
          <w:bCs/>
          <w:iCs/>
          <w:lang w:val="vi-VN"/>
        </w:rPr>
        <w:t>nh dấu; (2) khởi phát (starter); (3) phát vấn; (4) điều khiển; (5) thông tin; (6) giục; (7) gợi nhắc; (8) gợi ý; (9) ra hiệu; (10) mời chào; (11) gọi tên; (12) công nhận; (13) đ</w:t>
      </w:r>
      <w:r w:rsidRPr="00537AD5">
        <w:rPr>
          <w:rFonts w:eastAsia="SimSun"/>
          <w:bCs/>
          <w:iCs/>
          <w:lang w:val="vi-VN"/>
        </w:rPr>
        <w:t>á</w:t>
      </w:r>
      <w:r w:rsidRPr="00537AD5">
        <w:rPr>
          <w:rFonts w:eastAsiaTheme="majorEastAsia"/>
          <w:bCs/>
          <w:iCs/>
          <w:lang w:val="vi-VN"/>
        </w:rPr>
        <w:t>p lời; (14) phản ứng; (15) giải thích; (16) chấp nhận; (17) đ</w:t>
      </w:r>
      <w:r w:rsidRPr="00537AD5">
        <w:rPr>
          <w:rFonts w:eastAsia="SimSun"/>
          <w:bCs/>
          <w:iCs/>
          <w:lang w:val="vi-VN"/>
        </w:rPr>
        <w:t>á</w:t>
      </w:r>
      <w:r w:rsidRPr="00537AD5">
        <w:rPr>
          <w:rFonts w:eastAsiaTheme="majorEastAsia"/>
          <w:bCs/>
          <w:iCs/>
          <w:lang w:val="vi-VN"/>
        </w:rPr>
        <w:t>nh gi</w:t>
      </w:r>
      <w:r w:rsidRPr="00537AD5">
        <w:rPr>
          <w:rFonts w:eastAsia="SimSun"/>
          <w:bCs/>
          <w:iCs/>
          <w:lang w:val="vi-VN"/>
        </w:rPr>
        <w:t>á</w:t>
      </w:r>
      <w:r w:rsidRPr="00537AD5">
        <w:rPr>
          <w:rFonts w:eastAsiaTheme="majorEastAsia"/>
          <w:bCs/>
          <w:iCs/>
          <w:lang w:val="vi-VN"/>
        </w:rPr>
        <w:t>; (18) l</w:t>
      </w:r>
      <w:r w:rsidRPr="00537AD5">
        <w:rPr>
          <w:rFonts w:eastAsia="SimSun"/>
          <w:bCs/>
          <w:iCs/>
          <w:lang w:val="vi-VN"/>
        </w:rPr>
        <w:t>à</w:t>
      </w:r>
      <w:r w:rsidRPr="00537AD5">
        <w:rPr>
          <w:rFonts w:eastAsiaTheme="majorEastAsia"/>
          <w:bCs/>
          <w:iCs/>
          <w:lang w:val="vi-VN"/>
        </w:rPr>
        <w:t>m thinh; (19) si</w:t>
      </w:r>
      <w:r w:rsidRPr="00537AD5">
        <w:rPr>
          <w:rFonts w:eastAsia="SimSun"/>
          <w:bCs/>
          <w:iCs/>
          <w:lang w:val="vi-VN"/>
        </w:rPr>
        <w:t>ê</w:t>
      </w:r>
      <w:r w:rsidRPr="00537AD5">
        <w:rPr>
          <w:rFonts w:eastAsiaTheme="majorEastAsia"/>
          <w:bCs/>
          <w:iCs/>
          <w:lang w:val="vi-VN"/>
        </w:rPr>
        <w:t>u tuy</w:t>
      </w:r>
      <w:r w:rsidRPr="00537AD5">
        <w:rPr>
          <w:rFonts w:eastAsia="SimSun"/>
          <w:bCs/>
          <w:iCs/>
          <w:lang w:val="vi-VN"/>
        </w:rPr>
        <w:t>ê</w:t>
      </w:r>
      <w:r w:rsidRPr="00537AD5">
        <w:rPr>
          <w:rFonts w:eastAsiaTheme="majorEastAsia"/>
          <w:bCs/>
          <w:iCs/>
          <w:lang w:val="vi-VN"/>
        </w:rPr>
        <w:t xml:space="preserve">n bố; (20) kết luận; (21) móc lại; (22) ngẫu nhiên. </w:t>
      </w:r>
    </w:p>
    <w:p w:rsidR="00F51B46" w:rsidRPr="00537AD5" w:rsidRDefault="00F51B46" w:rsidP="00F51B46">
      <w:pPr>
        <w:spacing w:before="120" w:after="120" w:line="360" w:lineRule="auto"/>
        <w:ind w:firstLine="567"/>
        <w:jc w:val="both"/>
        <w:rPr>
          <w:rFonts w:eastAsiaTheme="majorEastAsia"/>
          <w:bCs/>
          <w:iCs/>
          <w:lang w:val="vi-VN"/>
        </w:rPr>
      </w:pPr>
      <w:r w:rsidRPr="00537AD5">
        <w:rPr>
          <w:rFonts w:eastAsiaTheme="majorEastAsia"/>
          <w:bCs/>
          <w:lang w:val="vi-VN"/>
        </w:rPr>
        <w:t xml:space="preserve">Theo lý thuyết phân tích diễn ngôn ở Anh và lý thuyết hội thoại Thuỵ Sĩ </w:t>
      </w:r>
      <w:r w:rsidRPr="00537AD5">
        <w:rPr>
          <w:rFonts w:eastAsia="SimSun"/>
          <w:bCs/>
          <w:lang w:val="vi-VN"/>
        </w:rPr>
        <w:t>–</w:t>
      </w:r>
      <w:r w:rsidRPr="00537AD5">
        <w:rPr>
          <w:rFonts w:eastAsiaTheme="majorEastAsia"/>
          <w:bCs/>
          <w:lang w:val="vi-VN"/>
        </w:rPr>
        <w:t xml:space="preserve"> Ph</w:t>
      </w:r>
      <w:r w:rsidRPr="00537AD5">
        <w:rPr>
          <w:rFonts w:eastAsia="SimSun"/>
          <w:bCs/>
          <w:lang w:val="vi-VN"/>
        </w:rPr>
        <w:t>á</w:t>
      </w:r>
      <w:r w:rsidRPr="00537AD5">
        <w:rPr>
          <w:rFonts w:eastAsiaTheme="majorEastAsia"/>
          <w:bCs/>
          <w:lang w:val="vi-VN"/>
        </w:rPr>
        <w:t>p th</w:t>
      </w:r>
      <w:r w:rsidRPr="00537AD5">
        <w:rPr>
          <w:rFonts w:eastAsia="SimSun"/>
          <w:bCs/>
          <w:lang w:val="vi-VN"/>
        </w:rPr>
        <w:t>ì</w:t>
      </w:r>
      <w:r w:rsidRPr="00537AD5">
        <w:rPr>
          <w:rFonts w:eastAsiaTheme="majorEastAsia"/>
          <w:bCs/>
          <w:lang w:val="vi-VN"/>
        </w:rPr>
        <w:t xml:space="preserve"> lượt nói không phải là một đơn vị hội thoại. Theo họ, sự trao đ</w:t>
      </w:r>
      <w:r w:rsidRPr="00537AD5">
        <w:rPr>
          <w:rFonts w:eastAsia="SimSun"/>
          <w:bCs/>
          <w:lang w:val="vi-VN"/>
        </w:rPr>
        <w:t>á</w:t>
      </w:r>
      <w:r w:rsidRPr="00537AD5">
        <w:rPr>
          <w:rFonts w:eastAsiaTheme="majorEastAsia"/>
          <w:bCs/>
          <w:lang w:val="vi-VN"/>
        </w:rPr>
        <w:t xml:space="preserve">p gồm hai </w:t>
      </w:r>
      <w:r w:rsidRPr="00537AD5">
        <w:rPr>
          <w:rFonts w:eastAsiaTheme="majorEastAsia"/>
          <w:bCs/>
          <w:iCs/>
          <w:lang w:val="vi-VN"/>
        </w:rPr>
        <w:t xml:space="preserve">BT (theo thuật ngữ của ý thuyết phân tích diễn ngôn) hoặc hai </w:t>
      </w:r>
      <w:r w:rsidRPr="00537AD5">
        <w:rPr>
          <w:rFonts w:eastAsiaTheme="majorEastAsia"/>
          <w:bCs/>
          <w:i/>
          <w:iCs/>
          <w:lang w:val="vi-VN"/>
        </w:rPr>
        <w:t>tham thoại</w:t>
      </w:r>
      <w:r w:rsidRPr="00537AD5">
        <w:rPr>
          <w:rFonts w:eastAsiaTheme="majorEastAsia"/>
          <w:bCs/>
          <w:iCs/>
          <w:lang w:val="vi-VN"/>
        </w:rPr>
        <w:t xml:space="preserve">  (intervention) (theo thuật ngữ của lý thuyết hội thoại </w:t>
      </w:r>
      <w:r w:rsidRPr="00537AD5">
        <w:rPr>
          <w:rFonts w:eastAsiaTheme="majorEastAsia"/>
          <w:bCs/>
          <w:lang w:val="vi-VN"/>
        </w:rPr>
        <w:t>Thuỵ</w:t>
      </w:r>
      <w:r w:rsidRPr="00537AD5">
        <w:rPr>
          <w:rFonts w:eastAsiaTheme="majorEastAsia"/>
          <w:bCs/>
          <w:iCs/>
          <w:lang w:val="vi-VN"/>
        </w:rPr>
        <w:t xml:space="preserve"> Sĩ </w:t>
      </w:r>
      <w:r w:rsidRPr="00537AD5">
        <w:rPr>
          <w:rFonts w:eastAsia="SimSun"/>
          <w:bCs/>
          <w:iCs/>
          <w:lang w:val="vi-VN"/>
        </w:rPr>
        <w:t>–</w:t>
      </w:r>
      <w:r w:rsidRPr="00537AD5">
        <w:rPr>
          <w:rFonts w:eastAsiaTheme="majorEastAsia"/>
          <w:bCs/>
          <w:iCs/>
          <w:lang w:val="vi-VN"/>
        </w:rPr>
        <w:t xml:space="preserve"> Ph</w:t>
      </w:r>
      <w:r w:rsidRPr="00537AD5">
        <w:rPr>
          <w:rFonts w:eastAsia="SimSun"/>
          <w:bCs/>
          <w:iCs/>
          <w:lang w:val="vi-VN"/>
        </w:rPr>
        <w:t>á</w:t>
      </w:r>
      <w:r w:rsidRPr="00537AD5">
        <w:rPr>
          <w:rFonts w:eastAsiaTheme="majorEastAsia"/>
          <w:bCs/>
          <w:iCs/>
          <w:lang w:val="vi-VN"/>
        </w:rPr>
        <w:t>p). Một BT do một người nói ra có thể là một lượt nói mà cũng c</w:t>
      </w:r>
      <w:r w:rsidRPr="00537AD5">
        <w:rPr>
          <w:rFonts w:eastAsia="SimSun"/>
          <w:bCs/>
          <w:iCs/>
          <w:lang w:val="vi-VN"/>
        </w:rPr>
        <w:t>ó</w:t>
      </w:r>
      <w:r w:rsidRPr="00537AD5">
        <w:rPr>
          <w:rFonts w:eastAsiaTheme="majorEastAsia"/>
          <w:bCs/>
          <w:iCs/>
          <w:lang w:val="vi-VN"/>
        </w:rPr>
        <w:t xml:space="preserve"> thể là một bộ phận của lượt nói. Như vậy, BT là một đơn vị của diễn ngôn, có thể nhỏ hơn một lượt nói. Ví </w:t>
      </w:r>
      <w:r w:rsidRPr="00537AD5">
        <w:rPr>
          <w:rFonts w:eastAsiaTheme="majorEastAsia"/>
          <w:bCs/>
          <w:iCs/>
          <w:lang w:val="vi-VN"/>
        </w:rPr>
        <w:lastRenderedPageBreak/>
        <w:t>dụ: Đ</w:t>
      </w:r>
      <w:r w:rsidRPr="00537AD5">
        <w:rPr>
          <w:rFonts w:eastAsia="SimSun"/>
          <w:bCs/>
          <w:iCs/>
          <w:lang w:val="vi-VN"/>
        </w:rPr>
        <w:t>á</w:t>
      </w:r>
      <w:r w:rsidRPr="00537AD5">
        <w:rPr>
          <w:rFonts w:eastAsiaTheme="majorEastAsia"/>
          <w:bCs/>
          <w:iCs/>
          <w:lang w:val="vi-VN"/>
        </w:rPr>
        <w:t>p lại câu trả lời của sinh viên, thầy giáo nói: “</w:t>
      </w:r>
      <w:r w:rsidRPr="00537AD5">
        <w:rPr>
          <w:rFonts w:eastAsiaTheme="majorEastAsia"/>
          <w:bCs/>
          <w:i/>
          <w:iCs/>
          <w:lang w:val="vi-VN"/>
        </w:rPr>
        <w:t>Đ</w:t>
      </w:r>
      <w:r w:rsidRPr="00537AD5">
        <w:rPr>
          <w:rFonts w:eastAsia="SimSun"/>
          <w:bCs/>
          <w:i/>
          <w:iCs/>
          <w:lang w:val="vi-VN"/>
        </w:rPr>
        <w:t>ú</w:t>
      </w:r>
      <w:r w:rsidRPr="00537AD5">
        <w:rPr>
          <w:rFonts w:eastAsiaTheme="majorEastAsia"/>
          <w:bCs/>
          <w:i/>
          <w:iCs/>
          <w:lang w:val="vi-VN"/>
        </w:rPr>
        <w:t>ng rồi, anh có thể cho thêm một ví dụ được không</w:t>
      </w:r>
      <w:r w:rsidRPr="00537AD5">
        <w:rPr>
          <w:rFonts w:eastAsiaTheme="majorEastAsia"/>
          <w:bCs/>
          <w:iCs/>
          <w:lang w:val="vi-VN"/>
        </w:rPr>
        <w:t xml:space="preserve">?”. Ở lượt nói này, có hai BT là: (1) </w:t>
      </w:r>
      <w:r w:rsidRPr="00537AD5">
        <w:rPr>
          <w:rFonts w:eastAsiaTheme="majorEastAsia"/>
          <w:bCs/>
          <w:i/>
          <w:iCs/>
          <w:lang w:val="vi-VN"/>
        </w:rPr>
        <w:t>Đ</w:t>
      </w:r>
      <w:r w:rsidRPr="00537AD5">
        <w:rPr>
          <w:rFonts w:eastAsia="SimSun"/>
          <w:bCs/>
          <w:i/>
          <w:iCs/>
          <w:lang w:val="vi-VN"/>
        </w:rPr>
        <w:t>ú</w:t>
      </w:r>
      <w:r w:rsidRPr="00537AD5">
        <w:rPr>
          <w:rFonts w:eastAsiaTheme="majorEastAsia"/>
          <w:bCs/>
          <w:i/>
          <w:iCs/>
          <w:lang w:val="vi-VN"/>
        </w:rPr>
        <w:t>ng rồi</w:t>
      </w:r>
      <w:r w:rsidRPr="00537AD5">
        <w:rPr>
          <w:rFonts w:eastAsiaTheme="majorEastAsia"/>
          <w:bCs/>
          <w:iCs/>
          <w:lang w:val="vi-VN"/>
        </w:rPr>
        <w:t>, là phản ứng của thầy đối với câu trả lời đ</w:t>
      </w:r>
      <w:r w:rsidRPr="00537AD5">
        <w:rPr>
          <w:rFonts w:eastAsia="SimSun"/>
          <w:bCs/>
          <w:iCs/>
          <w:lang w:val="vi-VN"/>
        </w:rPr>
        <w:t>ú</w:t>
      </w:r>
      <w:r w:rsidRPr="00537AD5">
        <w:rPr>
          <w:rFonts w:eastAsiaTheme="majorEastAsia"/>
          <w:bCs/>
          <w:iCs/>
          <w:lang w:val="vi-VN"/>
        </w:rPr>
        <w:t xml:space="preserve">ng của sinh viên; (2) </w:t>
      </w:r>
      <w:r w:rsidRPr="00537AD5">
        <w:rPr>
          <w:rFonts w:eastAsiaTheme="majorEastAsia"/>
          <w:bCs/>
          <w:i/>
          <w:iCs/>
          <w:lang w:val="vi-VN"/>
        </w:rPr>
        <w:t>Anh có thể cho thêm một ví dụ được không?</w:t>
      </w:r>
      <w:r w:rsidRPr="00537AD5">
        <w:rPr>
          <w:rFonts w:eastAsiaTheme="majorEastAsia"/>
          <w:bCs/>
          <w:iCs/>
          <w:lang w:val="vi-VN"/>
        </w:rPr>
        <w:t xml:space="preserve">, là gợi mở một câu trả lời khác của sinh viên. </w:t>
      </w:r>
    </w:p>
    <w:p w:rsidR="00F51B46" w:rsidRPr="00537AD5" w:rsidRDefault="00F51B46" w:rsidP="00F51B46">
      <w:pPr>
        <w:spacing w:before="120" w:after="120" w:line="360" w:lineRule="auto"/>
        <w:jc w:val="right"/>
        <w:rPr>
          <w:rFonts w:eastAsiaTheme="majorEastAsia"/>
          <w:b/>
          <w:sz w:val="20"/>
          <w:szCs w:val="20"/>
          <w:lang w:val="vi-VN"/>
        </w:rPr>
      </w:pPr>
      <w:r w:rsidRPr="00537AD5">
        <w:rPr>
          <w:rFonts w:eastAsiaTheme="majorEastAsia"/>
          <w:b/>
          <w:lang w:val="vi-VN"/>
        </w:rPr>
        <w:t xml:space="preserve">                                          </w:t>
      </w:r>
      <w:r w:rsidRPr="00537AD5">
        <w:rPr>
          <w:rFonts w:eastAsiaTheme="majorEastAsia"/>
          <w:b/>
          <w:sz w:val="20"/>
          <w:szCs w:val="20"/>
          <w:lang w:val="vi-VN"/>
        </w:rPr>
        <w:t>NGUYỄN THIỆN GIÁP</w:t>
      </w:r>
    </w:p>
    <w:p w:rsidR="00F51B46" w:rsidRPr="00537AD5" w:rsidRDefault="00F51B46" w:rsidP="00F51B46">
      <w:pPr>
        <w:spacing w:line="360" w:lineRule="auto"/>
        <w:jc w:val="both"/>
        <w:rPr>
          <w:rFonts w:eastAsiaTheme="majorEastAsia"/>
          <w:b/>
          <w:iCs/>
          <w:sz w:val="24"/>
          <w:szCs w:val="24"/>
          <w:lang w:val="vi-VN"/>
        </w:rPr>
      </w:pPr>
      <w:r w:rsidRPr="00537AD5">
        <w:rPr>
          <w:rFonts w:eastAsiaTheme="majorEastAsia"/>
          <w:b/>
          <w:iCs/>
          <w:sz w:val="24"/>
          <w:szCs w:val="24"/>
          <w:lang w:val="vi-VN"/>
        </w:rPr>
        <w:t>Tài liệu tham khảo</w:t>
      </w:r>
    </w:p>
    <w:p w:rsidR="00F51B46" w:rsidRPr="00537AD5" w:rsidRDefault="00F51B46" w:rsidP="00F51B46">
      <w:pPr>
        <w:numPr>
          <w:ilvl w:val="0"/>
          <w:numId w:val="1"/>
        </w:numPr>
        <w:spacing w:line="360" w:lineRule="auto"/>
        <w:jc w:val="both"/>
        <w:rPr>
          <w:rFonts w:eastAsiaTheme="majorEastAsia"/>
          <w:bCs/>
          <w:iCs/>
          <w:sz w:val="24"/>
          <w:szCs w:val="24"/>
        </w:rPr>
      </w:pPr>
      <w:r w:rsidRPr="00537AD5">
        <w:rPr>
          <w:rFonts w:eastAsiaTheme="majorEastAsia"/>
          <w:bCs/>
          <w:iCs/>
          <w:sz w:val="24"/>
          <w:szCs w:val="24"/>
          <w:lang w:val="vi-VN"/>
        </w:rPr>
        <w:t xml:space="preserve">Đỗ Hữu Châu, </w:t>
      </w:r>
      <w:r w:rsidRPr="00537AD5">
        <w:rPr>
          <w:rFonts w:eastAsiaTheme="majorEastAsia"/>
          <w:bCs/>
          <w:i/>
          <w:sz w:val="24"/>
          <w:szCs w:val="24"/>
          <w:lang w:val="vi-VN"/>
        </w:rPr>
        <w:t>Đại cương ng</w:t>
      </w:r>
      <w:r w:rsidRPr="00537AD5">
        <w:rPr>
          <w:rFonts w:eastAsia="SimSun"/>
          <w:bCs/>
          <w:i/>
          <w:sz w:val="24"/>
          <w:szCs w:val="24"/>
          <w:lang w:val="vi-VN"/>
        </w:rPr>
        <w:t>ô</w:t>
      </w:r>
      <w:r w:rsidRPr="00537AD5">
        <w:rPr>
          <w:rFonts w:eastAsiaTheme="majorEastAsia"/>
          <w:bCs/>
          <w:i/>
          <w:sz w:val="24"/>
          <w:szCs w:val="24"/>
          <w:lang w:val="vi-VN"/>
        </w:rPr>
        <w:t>n ngữ học</w:t>
      </w:r>
      <w:r w:rsidRPr="00537AD5">
        <w:rPr>
          <w:rFonts w:eastAsiaTheme="majorEastAsia"/>
          <w:bCs/>
          <w:iCs/>
          <w:sz w:val="24"/>
          <w:szCs w:val="24"/>
          <w:lang w:val="vi-VN"/>
        </w:rPr>
        <w:t xml:space="preserve">, Tập 2, Ngữ dụng học, Nxb. </w:t>
      </w:r>
      <w:r w:rsidRPr="00537AD5">
        <w:rPr>
          <w:rFonts w:eastAsiaTheme="majorEastAsia"/>
          <w:bCs/>
          <w:iCs/>
          <w:sz w:val="24"/>
          <w:szCs w:val="24"/>
        </w:rPr>
        <w:t>Giáo dục, Hà Nội, 2001.</w:t>
      </w:r>
    </w:p>
    <w:p w:rsidR="00F51B46" w:rsidRPr="00537AD5" w:rsidRDefault="00F51B46" w:rsidP="00F51B46">
      <w:pPr>
        <w:numPr>
          <w:ilvl w:val="0"/>
          <w:numId w:val="1"/>
        </w:numPr>
        <w:spacing w:line="360" w:lineRule="auto"/>
        <w:jc w:val="both"/>
        <w:rPr>
          <w:rFonts w:eastAsiaTheme="majorEastAsia"/>
          <w:bCs/>
          <w:iCs/>
          <w:sz w:val="24"/>
          <w:szCs w:val="24"/>
        </w:rPr>
      </w:pPr>
      <w:r w:rsidRPr="00537AD5">
        <w:rPr>
          <w:rFonts w:eastAsiaTheme="majorEastAsia"/>
          <w:bCs/>
          <w:iCs/>
          <w:sz w:val="24"/>
          <w:szCs w:val="24"/>
        </w:rPr>
        <w:t xml:space="preserve">Nguyễn Thiện Giáp, </w:t>
      </w:r>
      <w:r w:rsidRPr="00537AD5">
        <w:rPr>
          <w:rFonts w:eastAsiaTheme="majorEastAsia"/>
          <w:bCs/>
          <w:i/>
          <w:sz w:val="24"/>
          <w:szCs w:val="24"/>
        </w:rPr>
        <w:t>Từ điển khái niệm ngôn ngữ học</w:t>
      </w:r>
      <w:r w:rsidRPr="00537AD5">
        <w:rPr>
          <w:rFonts w:eastAsiaTheme="majorEastAsia"/>
          <w:bCs/>
          <w:iCs/>
          <w:sz w:val="24"/>
          <w:szCs w:val="24"/>
        </w:rPr>
        <w:t>, Nxb. Đại học Quốc gia Hà Nội, Hà Nội, 2016.</w:t>
      </w:r>
    </w:p>
    <w:p w:rsidR="00F51B46" w:rsidRPr="00537AD5" w:rsidRDefault="00F51B46" w:rsidP="00F51B46">
      <w:pPr>
        <w:numPr>
          <w:ilvl w:val="0"/>
          <w:numId w:val="1"/>
        </w:numPr>
        <w:spacing w:line="360" w:lineRule="auto"/>
        <w:jc w:val="both"/>
        <w:rPr>
          <w:rFonts w:eastAsiaTheme="majorEastAsia"/>
          <w:bCs/>
          <w:iCs/>
          <w:sz w:val="24"/>
          <w:szCs w:val="24"/>
        </w:rPr>
      </w:pPr>
      <w:r w:rsidRPr="00537AD5">
        <w:rPr>
          <w:rFonts w:eastAsiaTheme="majorEastAsia"/>
          <w:bCs/>
          <w:iCs/>
          <w:sz w:val="24"/>
          <w:szCs w:val="24"/>
        </w:rPr>
        <w:t xml:space="preserve">Nguyễn Thiện Giáp, </w:t>
      </w:r>
      <w:r w:rsidRPr="00537AD5">
        <w:rPr>
          <w:rFonts w:eastAsiaTheme="majorEastAsia"/>
          <w:bCs/>
          <w:i/>
          <w:sz w:val="24"/>
          <w:szCs w:val="24"/>
        </w:rPr>
        <w:t>Ngôn ngữ học lí thuyết</w:t>
      </w:r>
      <w:r w:rsidRPr="00537AD5">
        <w:rPr>
          <w:rFonts w:eastAsiaTheme="majorEastAsia"/>
          <w:bCs/>
          <w:iCs/>
          <w:sz w:val="24"/>
          <w:szCs w:val="24"/>
        </w:rPr>
        <w:t xml:space="preserve">, Nxb. Đại học Quốc gia Hà Nội, Hà Nội, 2020. </w:t>
      </w:r>
    </w:p>
    <w:p w:rsidR="00F51B46" w:rsidRPr="00537AD5" w:rsidRDefault="00F51B46" w:rsidP="00F51B46">
      <w:pPr>
        <w:numPr>
          <w:ilvl w:val="0"/>
          <w:numId w:val="1"/>
        </w:numPr>
        <w:spacing w:line="360" w:lineRule="auto"/>
        <w:jc w:val="both"/>
        <w:rPr>
          <w:rFonts w:eastAsiaTheme="majorEastAsia"/>
          <w:bCs/>
          <w:iCs/>
          <w:sz w:val="24"/>
          <w:szCs w:val="24"/>
        </w:rPr>
      </w:pPr>
      <w:r w:rsidRPr="00537AD5">
        <w:rPr>
          <w:rFonts w:eastAsiaTheme="majorEastAsia"/>
          <w:bCs/>
          <w:iCs/>
          <w:sz w:val="24"/>
          <w:szCs w:val="24"/>
        </w:rPr>
        <w:t xml:space="preserve">Goffman, E., </w:t>
      </w:r>
      <w:r w:rsidRPr="00537AD5">
        <w:rPr>
          <w:rFonts w:eastAsiaTheme="majorEastAsia"/>
          <w:bCs/>
          <w:i/>
          <w:sz w:val="24"/>
          <w:szCs w:val="24"/>
        </w:rPr>
        <w:t>Interaction rituals</w:t>
      </w:r>
      <w:r w:rsidRPr="00537AD5">
        <w:rPr>
          <w:rFonts w:eastAsiaTheme="majorEastAsia"/>
          <w:bCs/>
          <w:iCs/>
          <w:sz w:val="24"/>
          <w:szCs w:val="24"/>
        </w:rPr>
        <w:t>, New York, 1967.</w:t>
      </w:r>
    </w:p>
    <w:p w:rsidR="00F51B46" w:rsidRPr="00537AD5" w:rsidRDefault="00F51B46" w:rsidP="00F51B46">
      <w:pPr>
        <w:pStyle w:val="NormalWeb"/>
        <w:spacing w:before="0" w:beforeAutospacing="0" w:after="0" w:afterAutospacing="0" w:line="360" w:lineRule="auto"/>
        <w:jc w:val="both"/>
        <w:rPr>
          <w:rFonts w:eastAsiaTheme="majorEastAsia"/>
          <w:b/>
        </w:rPr>
      </w:pPr>
      <w:r w:rsidRPr="00537AD5">
        <w:rPr>
          <w:rFonts w:eastAsiaTheme="majorEastAsia"/>
          <w:bCs/>
          <w:iCs/>
        </w:rPr>
        <w:t xml:space="preserve">5. Sinclair, J. and R.M. Coulthard, </w:t>
      </w:r>
      <w:r w:rsidRPr="00537AD5">
        <w:rPr>
          <w:rFonts w:eastAsiaTheme="majorEastAsia"/>
          <w:bCs/>
          <w:i/>
        </w:rPr>
        <w:t xml:space="preserve">Towards an Analysis of Discourse: The English Used by Teachers and Pupils, </w:t>
      </w:r>
      <w:r w:rsidRPr="00537AD5">
        <w:rPr>
          <w:rFonts w:eastAsiaTheme="majorEastAsia"/>
          <w:bCs/>
          <w:iCs/>
        </w:rPr>
        <w:t>1975.</w:t>
      </w:r>
    </w:p>
    <w:p w:rsidR="0074324B" w:rsidRDefault="00F51B46">
      <w:bookmarkStart w:id="0" w:name="_GoBack"/>
      <w:bookmarkEnd w:id="0"/>
    </w:p>
    <w:sectPr w:rsidR="0074324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A3"/>
    <w:family w:val="swiss"/>
    <w:pitch w:val="variable"/>
    <w:sig w:usb0="E0002EFF" w:usb1="C000785B" w:usb2="00000009" w:usb3="00000000" w:csb0="000001FF" w:csb1="00000000"/>
  </w:font>
  <w:font w:name="Times New Roman">
    <w:panose1 w:val="02020603050405020304"/>
    <w:charset w:val="A3"/>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AB4E5EBB"/>
    <w:multiLevelType w:val="singleLevel"/>
    <w:tmpl w:val="AB4E5EBB"/>
    <w:lvl w:ilvl="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5A87"/>
    <w:rsid w:val="005A6D57"/>
    <w:rsid w:val="007D3409"/>
    <w:rsid w:val="00A25A87"/>
    <w:rsid w:val="00C02CDB"/>
    <w:rsid w:val="00F51B46"/>
    <w:rsid w:val="00F738BB"/>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4850768-277B-43D2-B021-196C234652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51B46"/>
    <w:pPr>
      <w:spacing w:after="0" w:line="240" w:lineRule="auto"/>
    </w:pPr>
    <w:rPr>
      <w:rFonts w:ascii="Times New Roman" w:eastAsia="Times New Roman" w:hAnsi="Times New Roman" w:cs="Times New Roman"/>
      <w:sz w:val="28"/>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iPriority w:val="99"/>
    <w:qFormat/>
    <w:rsid w:val="00F51B46"/>
    <w:pPr>
      <w:spacing w:before="100" w:beforeAutospacing="1" w:after="100" w:afterAutospacing="1"/>
    </w:pPr>
    <w:rPr>
      <w:sz w:val="24"/>
      <w:szCs w:val="24"/>
    </w:rPr>
  </w:style>
  <w:style w:type="character" w:customStyle="1" w:styleId="NormalWebChar">
    <w:name w:val="Normal (Web) Char"/>
    <w:link w:val="NormalWeb"/>
    <w:uiPriority w:val="99"/>
    <w:qFormat/>
    <w:locked/>
    <w:rsid w:val="00F51B46"/>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449</Words>
  <Characters>2565</Characters>
  <Application>Microsoft Office Word</Application>
  <DocSecurity>0</DocSecurity>
  <Lines>21</Lines>
  <Paragraphs>6</Paragraphs>
  <ScaleCrop>false</ScaleCrop>
  <Company/>
  <LinksUpToDate>false</LinksUpToDate>
  <CharactersWithSpaces>3008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2025-12-12T02:45:00Z</dcterms:created>
  <dcterms:modified xsi:type="dcterms:W3CDTF">2025-12-12T02:45:00Z</dcterms:modified>
</cp:coreProperties>
</file>